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81" w:rsidRPr="00A21881" w:rsidRDefault="00A21881" w:rsidP="00A21881">
      <w:pPr>
        <w:spacing w:line="240" w:lineRule="auto"/>
        <w:jc w:val="center"/>
        <w:rPr>
          <w:rFonts w:eastAsia="Times New Roman"/>
          <w:b/>
          <w:szCs w:val="24"/>
          <w:lang w:eastAsia="es-CO"/>
        </w:rPr>
      </w:pPr>
      <w:r w:rsidRPr="00A21881">
        <w:rPr>
          <w:rFonts w:eastAsia="Times New Roman"/>
          <w:b/>
          <w:szCs w:val="24"/>
          <w:lang w:eastAsia="es-CO"/>
        </w:rPr>
        <w:t>OFICIO N° 070391</w:t>
      </w:r>
    </w:p>
    <w:p w:rsidR="00A21881" w:rsidRPr="00A21881" w:rsidRDefault="00A21881" w:rsidP="00A21881">
      <w:pPr>
        <w:spacing w:line="240" w:lineRule="auto"/>
        <w:jc w:val="center"/>
        <w:rPr>
          <w:rFonts w:eastAsia="Times New Roman"/>
          <w:b/>
          <w:szCs w:val="24"/>
          <w:lang w:eastAsia="es-CO"/>
        </w:rPr>
      </w:pPr>
      <w:r w:rsidRPr="00A21881">
        <w:rPr>
          <w:rFonts w:eastAsia="Times New Roman"/>
          <w:b/>
          <w:szCs w:val="24"/>
          <w:lang w:eastAsia="es-CO"/>
        </w:rPr>
        <w:t>01-11-2013</w:t>
      </w:r>
    </w:p>
    <w:p w:rsidR="00A21881" w:rsidRPr="00A21881" w:rsidRDefault="00A21881" w:rsidP="00A21881">
      <w:pPr>
        <w:spacing w:line="240" w:lineRule="auto"/>
        <w:jc w:val="center"/>
        <w:rPr>
          <w:rFonts w:eastAsia="Times New Roman"/>
          <w:b/>
          <w:szCs w:val="24"/>
          <w:lang w:eastAsia="es-CO"/>
        </w:rPr>
      </w:pPr>
      <w:r w:rsidRPr="00A21881">
        <w:rPr>
          <w:rFonts w:eastAsia="Times New Roman"/>
          <w:b/>
          <w:szCs w:val="24"/>
          <w:lang w:eastAsia="es-CO"/>
        </w:rPr>
        <w:t>DIAN</w:t>
      </w:r>
    </w:p>
    <w:p w:rsidR="00A21881" w:rsidRPr="00A21881" w:rsidRDefault="00A21881" w:rsidP="00A21881">
      <w:pPr>
        <w:spacing w:line="240" w:lineRule="auto"/>
        <w:rPr>
          <w:rFonts w:eastAsia="Times New Roman"/>
          <w:b/>
          <w:szCs w:val="24"/>
          <w:lang w:eastAsia="es-CO"/>
        </w:rPr>
      </w:pPr>
    </w:p>
    <w:p w:rsidR="00A21881" w:rsidRPr="00A21881" w:rsidRDefault="00A21881" w:rsidP="00A21881">
      <w:pPr>
        <w:spacing w:line="240" w:lineRule="auto"/>
        <w:rPr>
          <w:rFonts w:eastAsia="Times New Roman"/>
          <w:b/>
          <w:szCs w:val="24"/>
          <w:lang w:eastAsia="es-CO"/>
        </w:rPr>
      </w:pPr>
    </w:p>
    <w:p w:rsidR="00A21881" w:rsidRPr="00A21881" w:rsidRDefault="00A21881" w:rsidP="00A21881">
      <w:pPr>
        <w:spacing w:line="240" w:lineRule="auto"/>
        <w:rPr>
          <w:rFonts w:eastAsia="Times New Roman"/>
          <w:szCs w:val="24"/>
          <w:lang w:eastAsia="es-CO"/>
        </w:rPr>
      </w:pPr>
      <w:r w:rsidRPr="00A21881">
        <w:rPr>
          <w:rFonts w:eastAsia="Times New Roman"/>
          <w:szCs w:val="24"/>
          <w:lang w:eastAsia="es-CO"/>
        </w:rPr>
        <w:t>100208221 – 907</w:t>
      </w:r>
    </w:p>
    <w:p w:rsidR="00A21881" w:rsidRPr="00A21881" w:rsidRDefault="00A21881" w:rsidP="00A21881">
      <w:pPr>
        <w:spacing w:line="240" w:lineRule="auto"/>
        <w:rPr>
          <w:rFonts w:eastAsia="Times New Roman"/>
          <w:szCs w:val="24"/>
          <w:lang w:eastAsia="es-CO"/>
        </w:rPr>
      </w:pPr>
      <w:r w:rsidRPr="00A21881">
        <w:rPr>
          <w:rFonts w:eastAsia="Times New Roman"/>
          <w:szCs w:val="24"/>
          <w:lang w:eastAsia="es-CO"/>
        </w:rPr>
        <w:t>Bogotá D.C.</w:t>
      </w:r>
      <w:bookmarkStart w:id="0" w:name="_GoBack"/>
      <w:bookmarkEnd w:id="0"/>
    </w:p>
    <w:p w:rsidR="00A21881" w:rsidRPr="00A21881" w:rsidRDefault="00A21881" w:rsidP="00A21881">
      <w:pPr>
        <w:spacing w:line="240" w:lineRule="auto"/>
        <w:rPr>
          <w:rFonts w:eastAsia="Times New Roman"/>
          <w:szCs w:val="24"/>
          <w:lang w:eastAsia="es-CO"/>
        </w:rPr>
      </w:pPr>
      <w:r w:rsidRPr="00A21881">
        <w:rPr>
          <w:rFonts w:eastAsia="Times New Roman"/>
          <w:b/>
          <w:szCs w:val="24"/>
          <w:lang w:eastAsia="es-CO"/>
        </w:rPr>
        <w:t xml:space="preserve">Ref.: </w:t>
      </w:r>
      <w:r w:rsidRPr="00A21881">
        <w:rPr>
          <w:rFonts w:eastAsia="Times New Roman"/>
          <w:szCs w:val="24"/>
          <w:lang w:eastAsia="es-CO"/>
        </w:rPr>
        <w:t>Solicitud radicado No. 01626 del 24/07/2013</w:t>
      </w:r>
    </w:p>
    <w:p w:rsidR="00A21881" w:rsidRPr="00A21881" w:rsidRDefault="00A21881" w:rsidP="00A21881">
      <w:pPr>
        <w:spacing w:line="240" w:lineRule="auto"/>
        <w:rPr>
          <w:rFonts w:eastAsia="Times New Roman"/>
          <w:szCs w:val="24"/>
          <w:lang w:eastAsia="es-CO"/>
        </w:rPr>
      </w:pPr>
    </w:p>
    <w:p w:rsidR="00A21881" w:rsidRPr="00A21881" w:rsidRDefault="00A21881" w:rsidP="00A21881">
      <w:pPr>
        <w:spacing w:line="240" w:lineRule="auto"/>
        <w:rPr>
          <w:rFonts w:eastAsia="Times New Roman"/>
          <w:szCs w:val="24"/>
          <w:lang w:eastAsia="es-CO"/>
        </w:rPr>
      </w:pPr>
      <w:r w:rsidRPr="00A21881">
        <w:rPr>
          <w:rFonts w:eastAsia="Times New Roman"/>
          <w:szCs w:val="24"/>
          <w:lang w:eastAsia="es-CO"/>
        </w:rPr>
        <w:t>Señora</w:t>
      </w:r>
    </w:p>
    <w:p w:rsidR="00A21881" w:rsidRPr="00A21881" w:rsidRDefault="00A21881" w:rsidP="00A21881">
      <w:pPr>
        <w:spacing w:line="240" w:lineRule="auto"/>
        <w:rPr>
          <w:rFonts w:eastAsia="Times New Roman"/>
          <w:b/>
          <w:szCs w:val="24"/>
          <w:lang w:eastAsia="es-CO"/>
        </w:rPr>
      </w:pPr>
      <w:r w:rsidRPr="00A21881">
        <w:rPr>
          <w:rFonts w:eastAsia="Times New Roman"/>
          <w:b/>
          <w:szCs w:val="24"/>
          <w:lang w:eastAsia="es-CO"/>
        </w:rPr>
        <w:t>CAROL CAITA CORREA</w:t>
      </w:r>
    </w:p>
    <w:p w:rsidR="00A21881" w:rsidRPr="00A21881" w:rsidRDefault="00A21881" w:rsidP="00A21881">
      <w:pPr>
        <w:spacing w:line="240" w:lineRule="auto"/>
        <w:rPr>
          <w:rFonts w:eastAsia="Times New Roman"/>
          <w:szCs w:val="24"/>
          <w:lang w:eastAsia="es-CO"/>
        </w:rPr>
      </w:pPr>
      <w:r w:rsidRPr="00A21881">
        <w:rPr>
          <w:rFonts w:eastAsia="Times New Roman"/>
          <w:szCs w:val="24"/>
          <w:lang w:eastAsia="es-CO"/>
        </w:rPr>
        <w:t>Calle 72 No. 6-30 Oficina 502</w:t>
      </w:r>
    </w:p>
    <w:p w:rsidR="00A21881" w:rsidRPr="00A21881" w:rsidRDefault="00A21881" w:rsidP="00A21881">
      <w:pPr>
        <w:spacing w:line="240" w:lineRule="auto"/>
        <w:rPr>
          <w:rFonts w:eastAsia="Times New Roman"/>
          <w:szCs w:val="24"/>
          <w:lang w:eastAsia="es-CO"/>
        </w:rPr>
      </w:pPr>
      <w:hyperlink r:id="rId5" w:history="1">
        <w:r w:rsidRPr="00A21881">
          <w:rPr>
            <w:rFonts w:eastAsia="Times New Roman"/>
            <w:szCs w:val="24"/>
            <w:lang w:eastAsia="es-CO"/>
          </w:rPr>
          <w:t>ccaita@gomezalzate.com</w:t>
        </w:r>
      </w:hyperlink>
    </w:p>
    <w:p w:rsidR="00A21881" w:rsidRPr="00A21881" w:rsidRDefault="00A21881" w:rsidP="00A21881">
      <w:pPr>
        <w:spacing w:line="240" w:lineRule="auto"/>
        <w:rPr>
          <w:rFonts w:eastAsia="Times New Roman"/>
          <w:szCs w:val="24"/>
          <w:lang w:eastAsia="es-CO"/>
        </w:rPr>
      </w:pPr>
      <w:r w:rsidRPr="00A21881">
        <w:rPr>
          <w:rFonts w:eastAsia="Times New Roman"/>
          <w:szCs w:val="24"/>
          <w:lang w:eastAsia="es-CO"/>
        </w:rPr>
        <w:t>Bogotá D.C.</w:t>
      </w:r>
    </w:p>
    <w:p w:rsidR="00A21881" w:rsidRPr="00A21881" w:rsidRDefault="00A21881" w:rsidP="00A21881">
      <w:pPr>
        <w:spacing w:line="240" w:lineRule="auto"/>
        <w:rPr>
          <w:rFonts w:eastAsia="Times New Roman"/>
          <w:szCs w:val="24"/>
          <w:lang w:eastAsia="es-CO"/>
        </w:rPr>
      </w:pPr>
    </w:p>
    <w:p w:rsidR="00A21881" w:rsidRPr="00A21881" w:rsidRDefault="00A21881" w:rsidP="00A21881">
      <w:pPr>
        <w:spacing w:line="240" w:lineRule="auto"/>
        <w:rPr>
          <w:rFonts w:eastAsia="Times New Roman"/>
          <w:szCs w:val="24"/>
          <w:lang w:eastAsia="es-CO"/>
        </w:rPr>
      </w:pPr>
      <w:r w:rsidRPr="00A21881">
        <w:rPr>
          <w:rFonts w:eastAsia="Times New Roman"/>
          <w:szCs w:val="24"/>
          <w:lang w:eastAsia="es-CO"/>
        </w:rPr>
        <w:t>Cordial saludo señora Carol,</w:t>
      </w:r>
    </w:p>
    <w:p w:rsidR="00A21881" w:rsidRPr="00A21881" w:rsidRDefault="00A21881" w:rsidP="00A21881">
      <w:pPr>
        <w:spacing w:line="240" w:lineRule="auto"/>
        <w:rPr>
          <w:rFonts w:eastAsia="Times New Roman"/>
          <w:szCs w:val="24"/>
          <w:lang w:eastAsia="es-CO"/>
        </w:rPr>
      </w:pPr>
    </w:p>
    <w:p w:rsidR="00A21881" w:rsidRPr="00A21881" w:rsidRDefault="00A21881" w:rsidP="00A21881">
      <w:pPr>
        <w:spacing w:line="240" w:lineRule="auto"/>
        <w:rPr>
          <w:rFonts w:eastAsia="Times New Roman"/>
          <w:szCs w:val="24"/>
          <w:lang w:eastAsia="es-CO"/>
        </w:rPr>
      </w:pPr>
      <w:r w:rsidRPr="00A21881">
        <w:rPr>
          <w:rFonts w:eastAsia="Times New Roman"/>
          <w:szCs w:val="24"/>
          <w:lang w:eastAsia="es-CO"/>
        </w:rPr>
        <w:t>De conformidad con el artículo 20 del Decreto 4048 de 2008 y la Orden Administrativa No. 000006 de 2009, este Despacho está facultado para absolver las consultas escritas que se formulen sobre interpretación y aplicación de las normas tributarias nacionales, en materia aduanera o de comercio exterior y control cambiario en lo de competencia de la Dirección de Impuestos y Aduanas Nacionales.</w:t>
      </w:r>
    </w:p>
    <w:p w:rsidR="00A21881" w:rsidRPr="00A21881" w:rsidRDefault="00A21881" w:rsidP="00A21881">
      <w:pPr>
        <w:spacing w:line="240" w:lineRule="auto"/>
        <w:rPr>
          <w:rFonts w:eastAsia="Times New Roman"/>
          <w:szCs w:val="24"/>
          <w:lang w:eastAsia="es-CO"/>
        </w:rPr>
      </w:pPr>
    </w:p>
    <w:p w:rsidR="00A21881" w:rsidRPr="00A21881" w:rsidRDefault="00A21881" w:rsidP="00A21881">
      <w:pPr>
        <w:spacing w:line="240" w:lineRule="auto"/>
        <w:rPr>
          <w:rFonts w:eastAsia="Times New Roman"/>
          <w:szCs w:val="24"/>
          <w:lang w:eastAsia="es-CO"/>
        </w:rPr>
      </w:pPr>
      <w:r w:rsidRPr="00A21881">
        <w:rPr>
          <w:rFonts w:eastAsia="Times New Roman"/>
          <w:szCs w:val="24"/>
          <w:lang w:eastAsia="es-CO"/>
        </w:rPr>
        <w:t>Mediante el radicado de la referencia solicita se precise la respuesta entregada para el radicado 38353 del 06/06/2013, atendido por la Coordinación de Relatoría quien remitió la Doctrina Vigente No. 049693 del 3 de agosto de 2012.</w:t>
      </w:r>
    </w:p>
    <w:p w:rsidR="00A21881" w:rsidRPr="00A21881" w:rsidRDefault="00A21881" w:rsidP="00A21881">
      <w:pPr>
        <w:spacing w:line="240" w:lineRule="auto"/>
        <w:rPr>
          <w:rFonts w:eastAsia="Times New Roman"/>
          <w:szCs w:val="24"/>
          <w:lang w:eastAsia="es-CO"/>
        </w:rPr>
      </w:pPr>
    </w:p>
    <w:p w:rsidR="00A21881" w:rsidRPr="00A21881" w:rsidRDefault="00A21881" w:rsidP="00A21881">
      <w:pPr>
        <w:spacing w:line="240" w:lineRule="auto"/>
        <w:rPr>
          <w:rFonts w:eastAsia="Times New Roman"/>
          <w:szCs w:val="24"/>
          <w:lang w:eastAsia="es-CO"/>
        </w:rPr>
      </w:pPr>
      <w:r w:rsidRPr="00A21881">
        <w:rPr>
          <w:rFonts w:eastAsia="Times New Roman"/>
          <w:szCs w:val="24"/>
          <w:lang w:eastAsia="es-CO"/>
        </w:rPr>
        <w:t>En la comunicación se consulta:</w:t>
      </w:r>
    </w:p>
    <w:p w:rsidR="00A21881" w:rsidRPr="00A21881" w:rsidRDefault="00A21881" w:rsidP="00A21881">
      <w:pPr>
        <w:spacing w:line="240" w:lineRule="auto"/>
        <w:rPr>
          <w:rFonts w:eastAsia="Times New Roman"/>
          <w:szCs w:val="24"/>
          <w:lang w:eastAsia="es-CO"/>
        </w:rPr>
      </w:pPr>
    </w:p>
    <w:p w:rsidR="00A21881" w:rsidRPr="00A21881" w:rsidRDefault="00A21881" w:rsidP="00A21881">
      <w:pPr>
        <w:spacing w:line="240" w:lineRule="auto"/>
        <w:rPr>
          <w:rFonts w:eastAsia="Times New Roman"/>
          <w:iCs/>
          <w:szCs w:val="24"/>
          <w:lang w:eastAsia="es-CO"/>
        </w:rPr>
      </w:pPr>
      <w:r w:rsidRPr="00A21881">
        <w:rPr>
          <w:rFonts w:eastAsia="Times New Roman"/>
          <w:szCs w:val="24"/>
          <w:lang w:eastAsia="es-CO"/>
        </w:rPr>
        <w:t xml:space="preserve">En primer lugar </w:t>
      </w:r>
      <w:r w:rsidRPr="00A21881">
        <w:rPr>
          <w:rFonts w:eastAsia="Times New Roman"/>
          <w:iCs/>
          <w:szCs w:val="24"/>
          <w:lang w:eastAsia="es-CO"/>
        </w:rPr>
        <w:t xml:space="preserve">"Se aclare si existe la posibilidad de conservar los documentos en un medio distinto del físico, es decir por cualquier medio técnico magnético </w:t>
      </w:r>
      <w:r w:rsidRPr="00A21881">
        <w:rPr>
          <w:rFonts w:eastAsia="Times New Roman"/>
          <w:szCs w:val="24"/>
          <w:lang w:eastAsia="es-CO"/>
        </w:rPr>
        <w:t xml:space="preserve">o </w:t>
      </w:r>
      <w:r w:rsidRPr="00A21881">
        <w:rPr>
          <w:rFonts w:eastAsia="Times New Roman"/>
          <w:iCs/>
          <w:szCs w:val="24"/>
          <w:lang w:eastAsia="es-CO"/>
        </w:rPr>
        <w:t>electrónico que garantice su reproducción exacta, en relación con documentos de carácter tributaria, aduanera y cambiaria según lo dispuesto en los artículos 12 de la Ley 527 de 1999, artículo 26 y parte final del artículo 28, ambos de la Ley 962 de 2005."</w:t>
      </w:r>
    </w:p>
    <w:p w:rsidR="00A21881" w:rsidRPr="00A21881" w:rsidRDefault="00A21881" w:rsidP="00A21881">
      <w:pPr>
        <w:spacing w:line="240" w:lineRule="auto"/>
        <w:rPr>
          <w:rFonts w:eastAsia="Times New Roman"/>
          <w:iCs/>
          <w:szCs w:val="24"/>
          <w:lang w:eastAsia="es-CO"/>
        </w:rPr>
      </w:pPr>
    </w:p>
    <w:p w:rsidR="00A21881" w:rsidRPr="00A21881" w:rsidRDefault="00A21881" w:rsidP="00A21881">
      <w:pPr>
        <w:spacing w:line="240" w:lineRule="auto"/>
        <w:rPr>
          <w:rFonts w:eastAsia="Times New Roman"/>
          <w:szCs w:val="24"/>
          <w:lang w:eastAsia="es-CO"/>
        </w:rPr>
      </w:pPr>
      <w:r w:rsidRPr="00A21881">
        <w:rPr>
          <w:rFonts w:eastAsia="Times New Roman"/>
          <w:szCs w:val="24"/>
          <w:lang w:eastAsia="es-CO"/>
        </w:rPr>
        <w:t xml:space="preserve">Sobre el particular conviene advertir que la doctrina de la entidad ha resuelto varias consultas acerca de la </w:t>
      </w:r>
      <w:r w:rsidRPr="00A21881">
        <w:rPr>
          <w:rFonts w:eastAsia="Times New Roman"/>
          <w:iCs/>
          <w:szCs w:val="24"/>
          <w:lang w:eastAsia="es-CO"/>
        </w:rPr>
        <w:t xml:space="preserve">conservación de descuentos </w:t>
      </w:r>
      <w:r w:rsidRPr="00A21881">
        <w:rPr>
          <w:rFonts w:eastAsia="Times New Roman"/>
          <w:szCs w:val="24"/>
          <w:lang w:eastAsia="es-CO"/>
        </w:rPr>
        <w:t>en materia tributaria, aduanera y cambiaria, con el Concepto Tributario 51929 de 2000, se señaló:</w:t>
      </w:r>
    </w:p>
    <w:p w:rsidR="00A21881" w:rsidRPr="00A21881" w:rsidRDefault="00A21881" w:rsidP="00A21881">
      <w:pPr>
        <w:spacing w:line="240" w:lineRule="auto"/>
        <w:ind w:left="284"/>
        <w:rPr>
          <w:rFonts w:eastAsia="Times New Roman"/>
          <w:szCs w:val="24"/>
          <w:lang w:eastAsia="es-CO"/>
        </w:rPr>
      </w:pPr>
    </w:p>
    <w:p w:rsidR="00A21881" w:rsidRPr="00A21881" w:rsidRDefault="00A21881" w:rsidP="00A21881">
      <w:pPr>
        <w:spacing w:line="240" w:lineRule="auto"/>
        <w:ind w:left="284"/>
        <w:rPr>
          <w:rFonts w:eastAsia="Times New Roman"/>
          <w:iCs/>
          <w:szCs w:val="24"/>
          <w:lang w:eastAsia="es-CO"/>
        </w:rPr>
      </w:pPr>
      <w:r w:rsidRPr="00A21881">
        <w:rPr>
          <w:rFonts w:eastAsia="Times New Roman"/>
          <w:iCs/>
          <w:szCs w:val="24"/>
          <w:lang w:eastAsia="es-CO"/>
        </w:rPr>
        <w:t xml:space="preserve">"A su vez el </w:t>
      </w:r>
      <w:hyperlink r:id="rId6" w:tooltip="Estatuto Tributario CETA" w:history="1">
        <w:r w:rsidRPr="00A21881">
          <w:rPr>
            <w:rFonts w:eastAsia="Times New Roman"/>
            <w:iCs/>
            <w:szCs w:val="24"/>
            <w:lang w:eastAsia="es-CO"/>
          </w:rPr>
          <w:t>artículo 632</w:t>
        </w:r>
      </w:hyperlink>
      <w:r w:rsidRPr="00A21881">
        <w:rPr>
          <w:rFonts w:eastAsia="Times New Roman"/>
          <w:iCs/>
          <w:szCs w:val="24"/>
          <w:lang w:eastAsia="es-CO"/>
        </w:rPr>
        <w:t xml:space="preserve"> del Estatuto Tributario señala:</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szCs w:val="24"/>
          <w:lang w:eastAsia="es-CO"/>
        </w:rPr>
      </w:pPr>
      <w:r w:rsidRPr="00A21881">
        <w:rPr>
          <w:rFonts w:eastAsia="Times New Roman"/>
          <w:iCs/>
          <w:szCs w:val="24"/>
          <w:lang w:eastAsia="es-CO"/>
        </w:rPr>
        <w:t xml:space="preserve">"Deber de conservar informaciones y pruebas. Para efectos del control de los impuestos administrados por la Dirección General de Impuestos Nacionales, las personas o entidades, contribuyentes o no contribuyentes de los mismos, deberán conservar por un período mínimo de cinco (5) años, contados a partir del </w:t>
      </w:r>
      <w:r w:rsidRPr="00A21881">
        <w:rPr>
          <w:rFonts w:eastAsia="Times New Roman"/>
          <w:szCs w:val="24"/>
          <w:lang w:eastAsia="es-CO"/>
        </w:rPr>
        <w:t xml:space="preserve">1° </w:t>
      </w:r>
      <w:r w:rsidRPr="00A21881">
        <w:rPr>
          <w:rFonts w:eastAsia="Times New Roman"/>
          <w:iCs/>
          <w:szCs w:val="24"/>
          <w:lang w:eastAsia="es-CO"/>
        </w:rPr>
        <w:t xml:space="preserve">de enero del año siguiente al de su elaboración, expedición </w:t>
      </w:r>
      <w:r w:rsidRPr="00A21881">
        <w:rPr>
          <w:rFonts w:eastAsia="Times New Roman"/>
          <w:szCs w:val="24"/>
          <w:lang w:eastAsia="es-CO"/>
        </w:rPr>
        <w:t xml:space="preserve">o recibo, </w:t>
      </w:r>
      <w:r w:rsidRPr="00A21881">
        <w:rPr>
          <w:rFonts w:eastAsia="Times New Roman"/>
          <w:iCs/>
          <w:szCs w:val="24"/>
          <w:lang w:eastAsia="es-CO"/>
        </w:rPr>
        <w:t>los siguientes documentos, informaciones y pruebas, que deberán ponerse a disposición de la administración de impuestos, cuando ésta así lo requiera:</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iCs/>
          <w:szCs w:val="24"/>
          <w:lang w:eastAsia="es-CO"/>
        </w:rPr>
      </w:pPr>
      <w:r w:rsidRPr="00A21881">
        <w:rPr>
          <w:rFonts w:eastAsia="Times New Roman"/>
          <w:iCs/>
          <w:szCs w:val="24"/>
          <w:lang w:eastAsia="es-CO"/>
        </w:rPr>
        <w:t xml:space="preserve">1. Cuando se trate de personas </w:t>
      </w:r>
      <w:r w:rsidRPr="00A21881">
        <w:rPr>
          <w:rFonts w:eastAsia="Times New Roman"/>
          <w:szCs w:val="24"/>
          <w:lang w:eastAsia="es-CO"/>
        </w:rPr>
        <w:t xml:space="preserve">o </w:t>
      </w:r>
      <w:r w:rsidRPr="00A21881">
        <w:rPr>
          <w:rFonts w:eastAsia="Times New Roman"/>
          <w:iCs/>
          <w:szCs w:val="24"/>
          <w:lang w:eastAsia="es-CO"/>
        </w:rPr>
        <w:t xml:space="preserve">entidades obligadas a llevar contabilidad, los libros de contabilidad junto con los comprobantes de orden interno y externo que dieron origen a los registros contables, de tal forma que </w:t>
      </w:r>
      <w:r w:rsidRPr="00A21881">
        <w:rPr>
          <w:rFonts w:eastAsia="Times New Roman"/>
          <w:szCs w:val="24"/>
          <w:lang w:eastAsia="es-CO"/>
        </w:rPr>
        <w:t xml:space="preserve">sea </w:t>
      </w:r>
      <w:r w:rsidRPr="00A21881">
        <w:rPr>
          <w:rFonts w:eastAsia="Times New Roman"/>
          <w:iCs/>
          <w:szCs w:val="24"/>
          <w:lang w:eastAsia="es-CO"/>
        </w:rPr>
        <w:t>posible verificar la exactitud de los activos, pasivos, patrimonio, ingresos, costos, deducciones, rentas exentas, descuentos, impuestos y retenciones consignados en ellos.</w:t>
      </w:r>
    </w:p>
    <w:p w:rsidR="00A21881" w:rsidRPr="00A21881" w:rsidRDefault="00A21881" w:rsidP="00A21881">
      <w:pPr>
        <w:spacing w:line="240" w:lineRule="auto"/>
        <w:ind w:left="284"/>
        <w:rPr>
          <w:rFonts w:eastAsia="Times New Roman"/>
          <w:szCs w:val="24"/>
          <w:lang w:eastAsia="es-CO"/>
        </w:rPr>
      </w:pPr>
    </w:p>
    <w:p w:rsidR="00A21881" w:rsidRPr="00A21881" w:rsidRDefault="00A21881" w:rsidP="00A21881">
      <w:pPr>
        <w:spacing w:line="240" w:lineRule="auto"/>
        <w:ind w:left="284"/>
        <w:rPr>
          <w:rFonts w:eastAsia="Times New Roman"/>
          <w:szCs w:val="24"/>
          <w:lang w:eastAsia="es-CO"/>
        </w:rPr>
      </w:pPr>
      <w:r w:rsidRPr="00A21881">
        <w:rPr>
          <w:rFonts w:eastAsia="Times New Roman"/>
          <w:szCs w:val="24"/>
          <w:u w:val="single"/>
          <w:lang w:eastAsia="es-CO"/>
        </w:rPr>
        <w:t>Cuando la contabilidad se lleva en computador, adicionalmente se debe conservar los medios magnéticos que contengan la información, así como los programas respectivos.</w:t>
      </w:r>
    </w:p>
    <w:p w:rsidR="00A21881" w:rsidRPr="00A21881" w:rsidRDefault="00A21881" w:rsidP="00A21881">
      <w:pPr>
        <w:spacing w:line="240" w:lineRule="auto"/>
        <w:ind w:left="284"/>
        <w:rPr>
          <w:rFonts w:eastAsia="Times New Roman"/>
          <w:iCs/>
          <w:szCs w:val="24"/>
          <w:lang w:eastAsia="es-CO"/>
        </w:rPr>
      </w:pPr>
      <w:r w:rsidRPr="00A21881">
        <w:rPr>
          <w:rFonts w:eastAsia="Times New Roman"/>
          <w:szCs w:val="24"/>
          <w:lang w:eastAsia="es-CO"/>
        </w:rPr>
        <w:lastRenderedPageBreak/>
        <w:t>…(s</w:t>
      </w:r>
      <w:r w:rsidRPr="00A21881">
        <w:rPr>
          <w:rFonts w:eastAsia="Times New Roman"/>
          <w:iCs/>
          <w:szCs w:val="24"/>
          <w:lang w:eastAsia="es-CO"/>
        </w:rPr>
        <w:t>ubrayado del Despacho).</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iCs/>
          <w:szCs w:val="24"/>
          <w:lang w:eastAsia="es-CO"/>
        </w:rPr>
      </w:pPr>
      <w:r w:rsidRPr="00A21881">
        <w:rPr>
          <w:rFonts w:eastAsia="Times New Roman"/>
          <w:iCs/>
          <w:szCs w:val="24"/>
          <w:lang w:eastAsia="es-CO"/>
        </w:rPr>
        <w:t>El artículo 12 de la Ley 527 de 1999 (Ley de Comercio Electrónico) es del siguiente tenor:</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iCs/>
          <w:szCs w:val="24"/>
          <w:lang w:eastAsia="es-CO"/>
        </w:rPr>
      </w:pPr>
      <w:r w:rsidRPr="00A21881">
        <w:rPr>
          <w:rFonts w:eastAsia="Times New Roman"/>
          <w:iCs/>
          <w:szCs w:val="24"/>
          <w:lang w:eastAsia="es-CO"/>
        </w:rPr>
        <w:t>"Conservación de mensajes de datos y documentos. Cuando la Ley requiere que ciertos documentos, registros o informaciones sean conservados, ese requisito quedará satisfecho, siempre que se cumplan las siguientes condiciones:</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iCs/>
          <w:szCs w:val="24"/>
          <w:lang w:eastAsia="es-CO"/>
        </w:rPr>
      </w:pPr>
      <w:r w:rsidRPr="00A21881">
        <w:rPr>
          <w:rFonts w:eastAsia="Arial"/>
          <w:iCs/>
          <w:szCs w:val="24"/>
          <w:lang w:eastAsia="es-CO"/>
        </w:rPr>
        <w:t xml:space="preserve">1. </w:t>
      </w:r>
      <w:r w:rsidRPr="00A21881">
        <w:rPr>
          <w:rFonts w:eastAsia="Times New Roman"/>
          <w:iCs/>
          <w:szCs w:val="24"/>
          <w:lang w:eastAsia="es-CO"/>
        </w:rPr>
        <w:t>Que la información que contengan sea accesible para su posterior consulta;</w:t>
      </w:r>
    </w:p>
    <w:p w:rsidR="00A21881" w:rsidRPr="00A21881" w:rsidRDefault="00A21881" w:rsidP="00A21881">
      <w:pPr>
        <w:spacing w:line="240" w:lineRule="auto"/>
        <w:ind w:left="284"/>
        <w:rPr>
          <w:rFonts w:eastAsia="Times New Roman"/>
          <w:iCs/>
          <w:szCs w:val="24"/>
          <w:lang w:eastAsia="es-CO"/>
        </w:rPr>
      </w:pPr>
      <w:r w:rsidRPr="00A21881">
        <w:rPr>
          <w:rFonts w:eastAsia="Arial"/>
          <w:iCs/>
          <w:szCs w:val="24"/>
          <w:lang w:eastAsia="es-CO"/>
        </w:rPr>
        <w:t xml:space="preserve">2. </w:t>
      </w:r>
      <w:r w:rsidRPr="00A21881">
        <w:rPr>
          <w:rFonts w:eastAsia="Times New Roman"/>
          <w:iCs/>
          <w:szCs w:val="24"/>
          <w:lang w:eastAsia="es-CO"/>
        </w:rPr>
        <w:t xml:space="preserve">Que el mensaje de datos o el documento sea conservado en el formato en que se haya generado, enviado o recibido o en algún formato que permita demostrar que reproduce con exactitud la información generada, enviada </w:t>
      </w:r>
      <w:r w:rsidRPr="00A21881">
        <w:rPr>
          <w:rFonts w:eastAsia="Times New Roman"/>
          <w:szCs w:val="24"/>
          <w:lang w:eastAsia="es-CO"/>
        </w:rPr>
        <w:t xml:space="preserve">o </w:t>
      </w:r>
      <w:r w:rsidRPr="00A21881">
        <w:rPr>
          <w:rFonts w:eastAsia="Times New Roman"/>
          <w:iCs/>
          <w:szCs w:val="24"/>
          <w:lang w:eastAsia="es-CO"/>
        </w:rPr>
        <w:t>recibida, y</w:t>
      </w:r>
    </w:p>
    <w:p w:rsidR="00A21881" w:rsidRPr="00A21881" w:rsidRDefault="00A21881" w:rsidP="00A21881">
      <w:pPr>
        <w:spacing w:line="240" w:lineRule="auto"/>
        <w:ind w:left="284"/>
        <w:rPr>
          <w:rFonts w:eastAsia="Times New Roman"/>
          <w:iCs/>
          <w:szCs w:val="24"/>
          <w:lang w:eastAsia="es-CO"/>
        </w:rPr>
      </w:pPr>
      <w:r w:rsidRPr="00A21881">
        <w:rPr>
          <w:rFonts w:eastAsia="Arial"/>
          <w:iCs/>
          <w:szCs w:val="24"/>
          <w:lang w:eastAsia="es-CO"/>
        </w:rPr>
        <w:t xml:space="preserve">3. </w:t>
      </w:r>
      <w:r w:rsidRPr="00A21881">
        <w:rPr>
          <w:rFonts w:eastAsia="Times New Roman"/>
          <w:iCs/>
          <w:szCs w:val="24"/>
          <w:lang w:eastAsia="es-CO"/>
        </w:rPr>
        <w:t xml:space="preserve">Que se conserve, de haber alguna, toda información que permita determinar el origen, el destino del mensaje, la </w:t>
      </w:r>
      <w:r w:rsidRPr="00A21881">
        <w:rPr>
          <w:rFonts w:eastAsia="Times New Roman"/>
          <w:szCs w:val="24"/>
          <w:lang w:eastAsia="es-CO"/>
        </w:rPr>
        <w:t xml:space="preserve">fecha </w:t>
      </w:r>
      <w:r w:rsidRPr="00A21881">
        <w:rPr>
          <w:rFonts w:eastAsia="Times New Roman"/>
          <w:iCs/>
          <w:szCs w:val="24"/>
          <w:lang w:eastAsia="es-CO"/>
        </w:rPr>
        <w:t xml:space="preserve">y la hora en que fue enviado </w:t>
      </w:r>
      <w:r w:rsidRPr="00A21881">
        <w:rPr>
          <w:rFonts w:eastAsia="Times New Roman"/>
          <w:szCs w:val="24"/>
          <w:lang w:eastAsia="es-CO"/>
        </w:rPr>
        <w:t xml:space="preserve">o </w:t>
      </w:r>
      <w:r w:rsidRPr="00A21881">
        <w:rPr>
          <w:rFonts w:eastAsia="Times New Roman"/>
          <w:iCs/>
          <w:szCs w:val="24"/>
          <w:lang w:eastAsia="es-CO"/>
        </w:rPr>
        <w:t>recibido el mensaje o producido el documento.</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iCs/>
          <w:szCs w:val="24"/>
          <w:lang w:eastAsia="es-CO"/>
        </w:rPr>
      </w:pPr>
      <w:r w:rsidRPr="00A21881">
        <w:rPr>
          <w:rFonts w:eastAsia="Times New Roman"/>
          <w:iCs/>
          <w:szCs w:val="24"/>
          <w:lang w:eastAsia="es-CO"/>
        </w:rPr>
        <w:t xml:space="preserve">No estará sujeta a la obligación de conservación, la información que tenga por única finalidad facilitar el envío </w:t>
      </w:r>
      <w:r w:rsidRPr="00A21881">
        <w:rPr>
          <w:rFonts w:eastAsia="Times New Roman"/>
          <w:szCs w:val="24"/>
          <w:lang w:eastAsia="es-CO"/>
        </w:rPr>
        <w:t xml:space="preserve">o </w:t>
      </w:r>
      <w:r w:rsidRPr="00A21881">
        <w:rPr>
          <w:rFonts w:eastAsia="Times New Roman"/>
          <w:iCs/>
          <w:szCs w:val="24"/>
          <w:lang w:eastAsia="es-CO"/>
        </w:rPr>
        <w:t>recepción de los mensajes de datos.</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iCs/>
          <w:szCs w:val="24"/>
          <w:lang w:eastAsia="es-CO"/>
        </w:rPr>
      </w:pPr>
      <w:r w:rsidRPr="00A21881">
        <w:rPr>
          <w:rFonts w:eastAsia="Times New Roman"/>
          <w:iCs/>
          <w:szCs w:val="24"/>
          <w:u w:val="single"/>
          <w:lang w:eastAsia="es-CO"/>
        </w:rPr>
        <w:t>Los libros y papeles del comerciante podrán ser conservados en cualquier medio técnico que garantice su reproducción</w:t>
      </w:r>
      <w:r w:rsidRPr="00A21881">
        <w:rPr>
          <w:rFonts w:eastAsia="Times New Roman"/>
          <w:iCs/>
          <w:szCs w:val="24"/>
          <w:lang w:eastAsia="es-CO"/>
        </w:rPr>
        <w:t xml:space="preserve"> (Subrayado del Despacho).</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iCs/>
          <w:szCs w:val="24"/>
          <w:lang w:eastAsia="es-CO"/>
        </w:rPr>
      </w:pPr>
      <w:r w:rsidRPr="00A21881">
        <w:rPr>
          <w:rFonts w:eastAsia="Times New Roman"/>
          <w:iCs/>
          <w:szCs w:val="24"/>
          <w:lang w:eastAsia="es-CO"/>
        </w:rPr>
        <w:t xml:space="preserve">De las normas transcritas se colige que la legislación contable le ha dado la posibilidad a las personas obligadas a llevar contabilidad de conservar sus documentos y papeles relacionados con la misma, por cualquier medio </w:t>
      </w:r>
      <w:r w:rsidRPr="00A21881">
        <w:rPr>
          <w:rFonts w:eastAsia="Times New Roman"/>
          <w:szCs w:val="24"/>
          <w:lang w:eastAsia="es-CO"/>
        </w:rPr>
        <w:t xml:space="preserve">técnico </w:t>
      </w:r>
      <w:r w:rsidRPr="00A21881">
        <w:rPr>
          <w:rFonts w:eastAsia="Times New Roman"/>
          <w:iCs/>
          <w:szCs w:val="24"/>
          <w:lang w:eastAsia="es-CO"/>
        </w:rPr>
        <w:t>que reproduzca fielmente la información almacenada, como por ejemplo, diskette, CD, ópticos, etc., y con la expedición de la Ley de Comercio Electrónico se ha reiterado esa posibilidad.</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szCs w:val="24"/>
          <w:lang w:eastAsia="es-CO"/>
        </w:rPr>
      </w:pPr>
      <w:r w:rsidRPr="00A21881">
        <w:rPr>
          <w:rFonts w:eastAsia="Times New Roman"/>
          <w:iCs/>
          <w:szCs w:val="24"/>
          <w:lang w:eastAsia="es-CO"/>
        </w:rPr>
        <w:t xml:space="preserve">Por tanto tiene razón la consultante al manifestar que debe entenderse adicionado el </w:t>
      </w:r>
      <w:hyperlink r:id="rId7" w:tooltip="Estatuto Tributario CETA" w:history="1">
        <w:r w:rsidRPr="00A21881">
          <w:rPr>
            <w:rFonts w:eastAsia="Times New Roman"/>
            <w:iCs/>
            <w:szCs w:val="24"/>
            <w:lang w:eastAsia="es-CO"/>
          </w:rPr>
          <w:t>artículo 632</w:t>
        </w:r>
      </w:hyperlink>
      <w:r w:rsidRPr="00A21881">
        <w:rPr>
          <w:rFonts w:eastAsia="Times New Roman"/>
          <w:iCs/>
          <w:szCs w:val="24"/>
          <w:lang w:eastAsia="es-CO"/>
        </w:rPr>
        <w:t xml:space="preserve"> del Estatuto Tributario en el sentido de aceptar los comprobantes internos y externos almacenados </w:t>
      </w:r>
      <w:r w:rsidRPr="00A21881">
        <w:rPr>
          <w:rFonts w:eastAsia="Times New Roman"/>
          <w:szCs w:val="24"/>
          <w:lang w:eastAsia="es-CO"/>
        </w:rPr>
        <w:t xml:space="preserve">como </w:t>
      </w:r>
      <w:r w:rsidRPr="00A21881">
        <w:rPr>
          <w:rFonts w:eastAsia="Times New Roman"/>
          <w:iCs/>
          <w:szCs w:val="24"/>
          <w:lang w:eastAsia="es-CO"/>
        </w:rPr>
        <w:t xml:space="preserve">mensajes de datos." </w:t>
      </w:r>
      <w:r w:rsidRPr="00A21881">
        <w:rPr>
          <w:rFonts w:eastAsia="Times New Roman"/>
          <w:szCs w:val="24"/>
          <w:lang w:eastAsia="es-CO"/>
        </w:rPr>
        <w:t>(</w:t>
      </w:r>
      <w:proofErr w:type="gramStart"/>
      <w:r w:rsidRPr="00A21881">
        <w:rPr>
          <w:rFonts w:eastAsia="Times New Roman"/>
          <w:szCs w:val="24"/>
          <w:lang w:eastAsia="es-CO"/>
        </w:rPr>
        <w:t>resaltado</w:t>
      </w:r>
      <w:proofErr w:type="gramEnd"/>
      <w:r w:rsidRPr="00A21881">
        <w:rPr>
          <w:rFonts w:eastAsia="Times New Roman"/>
          <w:szCs w:val="24"/>
          <w:lang w:eastAsia="es-CO"/>
        </w:rPr>
        <w:t xml:space="preserve"> nuestro)</w:t>
      </w:r>
    </w:p>
    <w:p w:rsidR="00A21881" w:rsidRPr="00A21881" w:rsidRDefault="00A21881" w:rsidP="00A21881">
      <w:pPr>
        <w:spacing w:line="240" w:lineRule="auto"/>
        <w:rPr>
          <w:rFonts w:eastAsia="Times New Roman"/>
          <w:szCs w:val="24"/>
          <w:lang w:eastAsia="es-CO"/>
        </w:rPr>
      </w:pPr>
    </w:p>
    <w:p w:rsidR="00A21881" w:rsidRPr="00A21881" w:rsidRDefault="00A21881" w:rsidP="00A21881">
      <w:pPr>
        <w:spacing w:line="240" w:lineRule="auto"/>
        <w:rPr>
          <w:rFonts w:eastAsia="Times New Roman"/>
          <w:szCs w:val="24"/>
          <w:lang w:eastAsia="es-CO"/>
        </w:rPr>
      </w:pPr>
      <w:r w:rsidRPr="00A21881">
        <w:rPr>
          <w:rFonts w:eastAsia="Times New Roman"/>
          <w:szCs w:val="24"/>
          <w:lang w:eastAsia="es-CO"/>
        </w:rPr>
        <w:t>En materia aduanera conviene extractar la doctrina emitida mediante Concepto 021 de 2007, que precisó:</w:t>
      </w:r>
    </w:p>
    <w:p w:rsidR="00A21881" w:rsidRPr="00A21881" w:rsidRDefault="00A21881" w:rsidP="00A21881">
      <w:pPr>
        <w:spacing w:line="240" w:lineRule="auto"/>
        <w:ind w:left="284"/>
        <w:rPr>
          <w:rFonts w:eastAsia="Times New Roman"/>
          <w:szCs w:val="24"/>
          <w:lang w:eastAsia="es-CO"/>
        </w:rPr>
      </w:pPr>
    </w:p>
    <w:p w:rsidR="00A21881" w:rsidRPr="00A21881" w:rsidRDefault="00A21881" w:rsidP="00A21881">
      <w:pPr>
        <w:spacing w:line="240" w:lineRule="auto"/>
        <w:ind w:left="284"/>
        <w:rPr>
          <w:rFonts w:eastAsia="Times New Roman"/>
          <w:iCs/>
          <w:szCs w:val="24"/>
          <w:lang w:eastAsia="es-CO"/>
        </w:rPr>
      </w:pPr>
      <w:r w:rsidRPr="00A21881">
        <w:rPr>
          <w:rFonts w:eastAsia="Times New Roman"/>
          <w:iCs/>
          <w:szCs w:val="24"/>
          <w:lang w:eastAsia="es-CO"/>
        </w:rPr>
        <w:t>"La ley 962 de 8 de julio de 2005, por la cual se dictan disposiciones sobre racionalización de trámites y procedimientos administrativos de los organismos y entidades del Estado y de los particulares que ejercen funciones públicas o prestan servicios públicos, cuyo Capítulo II establece criterios para la racionalización de trámites para el ejercicio de actividades particulares, dispuso:</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iCs/>
          <w:szCs w:val="24"/>
          <w:lang w:eastAsia="es-CO"/>
        </w:rPr>
      </w:pPr>
      <w:r w:rsidRPr="00A21881">
        <w:rPr>
          <w:rFonts w:eastAsia="Times New Roman"/>
          <w:iCs/>
          <w:szCs w:val="24"/>
          <w:lang w:eastAsia="es-CO"/>
        </w:rPr>
        <w:t>"Artículo 28. Racionalización de la conservación de libros y papeles de comercio. Los libros y papeles del comerciante deberán ser conservados por un período de diez (10) años contados a partir de la fecha del último asiento, documento o comprobante, pudiendo utilizar para el efecto, a elección del comerciante, su conservación en papel o en cualquier medio técnico, magnético o electrónico que garantice su reproducción exacta.</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iCs/>
          <w:szCs w:val="24"/>
          <w:lang w:eastAsia="es-CO"/>
        </w:rPr>
      </w:pPr>
      <w:r w:rsidRPr="00A21881">
        <w:rPr>
          <w:rFonts w:eastAsia="Times New Roman"/>
          <w:iCs/>
          <w:szCs w:val="24"/>
          <w:lang w:eastAsia="es-CO"/>
        </w:rPr>
        <w:t>Igual término aplicará en relación con las personas, no comerciantes, que legalmente, se encuentren obligadas a conservar esta información.</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iCs/>
          <w:szCs w:val="24"/>
          <w:lang w:eastAsia="es-CO"/>
        </w:rPr>
      </w:pPr>
      <w:r w:rsidRPr="00A21881">
        <w:rPr>
          <w:rFonts w:eastAsia="Times New Roman"/>
          <w:iCs/>
          <w:szCs w:val="24"/>
          <w:lang w:eastAsia="es-CO"/>
        </w:rPr>
        <w:t>Lo anterior sin perjuicio de los términos menores consagrados en normas especiales".</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szCs w:val="24"/>
          <w:lang w:eastAsia="es-CO"/>
        </w:rPr>
      </w:pPr>
      <w:r w:rsidRPr="00A21881">
        <w:rPr>
          <w:rFonts w:eastAsia="Times New Roman"/>
          <w:iCs/>
          <w:szCs w:val="24"/>
          <w:lang w:eastAsia="es-CO"/>
        </w:rPr>
        <w:t xml:space="preserve">Por otra parte, la legal introducción de una mercancía de procedencia extranjera al país, se acredita con la correspondiente declaración de importación y los respectivos documentos soporte de conformidad con el artículo </w:t>
      </w:r>
      <w:r w:rsidRPr="00A21881">
        <w:rPr>
          <w:rFonts w:eastAsia="Times New Roman"/>
          <w:szCs w:val="24"/>
          <w:lang w:eastAsia="es-CO"/>
        </w:rPr>
        <w:t xml:space="preserve">121 </w:t>
      </w:r>
      <w:r w:rsidRPr="00A21881">
        <w:rPr>
          <w:rFonts w:eastAsia="Times New Roman"/>
          <w:iCs/>
          <w:szCs w:val="24"/>
          <w:lang w:eastAsia="es-CO"/>
        </w:rPr>
        <w:t>del Decreto 2685 de 1999.</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szCs w:val="24"/>
          <w:lang w:eastAsia="es-CO"/>
        </w:rPr>
      </w:pPr>
      <w:r w:rsidRPr="00A21881">
        <w:rPr>
          <w:rFonts w:eastAsia="Times New Roman"/>
          <w:iCs/>
          <w:szCs w:val="24"/>
          <w:lang w:eastAsia="es-CO"/>
        </w:rPr>
        <w:t>En lo referente a tales documentos soporte el artículo citado indica:</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iCs/>
          <w:szCs w:val="24"/>
          <w:lang w:eastAsia="es-CO"/>
        </w:rPr>
      </w:pPr>
      <w:r w:rsidRPr="00A21881">
        <w:rPr>
          <w:rFonts w:eastAsia="Times New Roman"/>
          <w:iCs/>
          <w:szCs w:val="24"/>
          <w:lang w:eastAsia="es-CO"/>
        </w:rPr>
        <w:t>"Para efectos aduaneros, el declarante está obligado a obtener antes de la presentación y aceptación de la Declaración y a conservar por un período de cinco (5) años contados a partir de dicha fecha, el original de los siguientes documentos que deberá poner a disposición de la autoridad aduanera, cuando ésta así lo requiera. (...)" (Destaca el despacho).</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szCs w:val="24"/>
          <w:lang w:eastAsia="es-CO"/>
        </w:rPr>
      </w:pPr>
      <w:r w:rsidRPr="00A21881">
        <w:rPr>
          <w:rFonts w:eastAsia="Times New Roman"/>
          <w:iCs/>
          <w:szCs w:val="24"/>
          <w:lang w:eastAsia="es-CO"/>
        </w:rPr>
        <w:t>Expuesto lo anterior, queda planteado un problema de prevalencia entre las dos disposiciones transcritas, toda vez que podría pensarse que los documentos soporte de las declaraciones de importación pueden conservarse en cualquier medio técnico, magnético o electrónico, por el término de (10) años y no en original y por cinco (5) años como demanda el artículo 121 del Decreto 2685 de 1999.</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iCs/>
          <w:szCs w:val="24"/>
          <w:lang w:eastAsia="es-CO"/>
        </w:rPr>
      </w:pPr>
      <w:r w:rsidRPr="00A21881">
        <w:rPr>
          <w:rFonts w:eastAsia="Times New Roman"/>
          <w:iCs/>
          <w:szCs w:val="24"/>
          <w:lang w:eastAsia="es-CO"/>
        </w:rPr>
        <w:t xml:space="preserve">Para dilucidar esta aparente dicotomía, es necesario aplicar la regla interpretativa establecida por el artículo 5 de la Ley 57 de 1887 cuya primera regla interpretativa señala que "La disposición relativa a un asunto especial, prefiere a la que tenga carácter general", cuya aplicación a </w:t>
      </w:r>
      <w:r w:rsidRPr="00A21881">
        <w:rPr>
          <w:rFonts w:eastAsia="Times New Roman"/>
          <w:szCs w:val="24"/>
          <w:lang w:eastAsia="es-CO"/>
        </w:rPr>
        <w:t xml:space="preserve">todas </w:t>
      </w:r>
      <w:r w:rsidRPr="00A21881">
        <w:rPr>
          <w:rFonts w:eastAsia="Times New Roman"/>
          <w:iCs/>
          <w:szCs w:val="24"/>
          <w:lang w:eastAsia="es-CO"/>
        </w:rPr>
        <w:t>luces nos indica que para efectos aduaneros priman las disposiciones contenidas en el Decreto 2685 de 1999.</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iCs/>
          <w:szCs w:val="24"/>
          <w:lang w:eastAsia="es-CO"/>
        </w:rPr>
      </w:pPr>
      <w:r w:rsidRPr="00A21881">
        <w:rPr>
          <w:rFonts w:eastAsia="Times New Roman"/>
          <w:iCs/>
          <w:szCs w:val="24"/>
          <w:lang w:eastAsia="es-CO"/>
        </w:rPr>
        <w:t>Por consiguiente, la exigencia del artículo 121 del Decreto 2685 de conservar el original de los documentos soporte de las declaraciones de importación no debe interpretarse como un mero capricho del legislador aduanero; pues ella guarda relación directa con el ejercicio de las amplias facultades de fiscalización y control otorgadas a la Autoridad Aduanera por el artículo 470 ibídem.</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iCs/>
          <w:szCs w:val="24"/>
          <w:lang w:eastAsia="es-CO"/>
        </w:rPr>
      </w:pPr>
      <w:r w:rsidRPr="00A21881">
        <w:rPr>
          <w:rFonts w:eastAsia="Times New Roman"/>
          <w:iCs/>
          <w:szCs w:val="24"/>
          <w:lang w:eastAsia="es-CO"/>
        </w:rPr>
        <w:t>Ahora bien, el hecho de que el importador tenga que cumplir con las previsiones de esta norma, no le impide que, en calidad de comerciante y para efectos de la conservación de los libros y papeles de comercio opte por emplear papel o cualquier medio técnico, magnético o electrónico que garantice su reproducción exacta, en aplicación de la disposición general contenida en el artículo 28 de la ley 962 de 1995.</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szCs w:val="24"/>
          <w:lang w:eastAsia="es-CO"/>
        </w:rPr>
      </w:pPr>
      <w:r w:rsidRPr="00A21881">
        <w:rPr>
          <w:rFonts w:eastAsia="Times New Roman"/>
          <w:iCs/>
          <w:szCs w:val="24"/>
          <w:lang w:eastAsia="es-CO"/>
        </w:rPr>
        <w:t xml:space="preserve">En conclusión: Los documentos soporte de las declaraciones de importación deben conservarse físicamente durante el término establecido por el artículo 121 del Decreto 2685 de 1999, sin perjuicio de que puedan guardarse copias en cualquier medio técnico, magnético o electrónico por el término establecido por el artículo 28 de la Ley 962 de 2005.” </w:t>
      </w:r>
      <w:r w:rsidRPr="00A21881">
        <w:rPr>
          <w:rFonts w:eastAsia="Times New Roman"/>
          <w:szCs w:val="24"/>
          <w:lang w:eastAsia="es-CO"/>
        </w:rPr>
        <w:t>(</w:t>
      </w:r>
      <w:proofErr w:type="gramStart"/>
      <w:r w:rsidRPr="00A21881">
        <w:rPr>
          <w:rFonts w:eastAsia="Times New Roman"/>
          <w:szCs w:val="24"/>
          <w:lang w:eastAsia="es-CO"/>
        </w:rPr>
        <w:t>resaltado</w:t>
      </w:r>
      <w:proofErr w:type="gramEnd"/>
      <w:r w:rsidRPr="00A21881">
        <w:rPr>
          <w:rFonts w:eastAsia="Times New Roman"/>
          <w:szCs w:val="24"/>
          <w:lang w:eastAsia="es-CO"/>
        </w:rPr>
        <w:t xml:space="preserve"> nuestro)</w:t>
      </w:r>
    </w:p>
    <w:p w:rsidR="00A21881" w:rsidRPr="00A21881" w:rsidRDefault="00A21881" w:rsidP="00A21881">
      <w:pPr>
        <w:spacing w:line="240" w:lineRule="auto"/>
        <w:rPr>
          <w:rFonts w:eastAsia="Times New Roman"/>
          <w:szCs w:val="24"/>
          <w:lang w:eastAsia="es-CO"/>
        </w:rPr>
      </w:pPr>
    </w:p>
    <w:p w:rsidR="00A21881" w:rsidRPr="00A21881" w:rsidRDefault="00A21881" w:rsidP="00A21881">
      <w:pPr>
        <w:spacing w:line="240" w:lineRule="auto"/>
        <w:rPr>
          <w:rFonts w:eastAsia="Times New Roman"/>
          <w:szCs w:val="24"/>
          <w:lang w:eastAsia="es-CO"/>
        </w:rPr>
      </w:pPr>
      <w:r w:rsidRPr="00A21881">
        <w:rPr>
          <w:rFonts w:eastAsia="Times New Roman"/>
          <w:szCs w:val="24"/>
          <w:lang w:eastAsia="es-CO"/>
        </w:rPr>
        <w:t>De igual manera, exponemos la doctrina en materia cambiaria de esta entidad, citada en oficio 151 de 2008, así:</w:t>
      </w:r>
    </w:p>
    <w:p w:rsidR="00A21881" w:rsidRPr="00A21881" w:rsidRDefault="00A21881" w:rsidP="00A21881">
      <w:pPr>
        <w:spacing w:line="240" w:lineRule="auto"/>
        <w:ind w:left="284"/>
        <w:rPr>
          <w:rFonts w:eastAsia="Times New Roman"/>
          <w:szCs w:val="24"/>
          <w:lang w:eastAsia="es-CO"/>
        </w:rPr>
      </w:pPr>
    </w:p>
    <w:p w:rsidR="00A21881" w:rsidRPr="00A21881" w:rsidRDefault="00A21881" w:rsidP="00A21881">
      <w:pPr>
        <w:spacing w:line="240" w:lineRule="auto"/>
        <w:ind w:left="284"/>
        <w:rPr>
          <w:rFonts w:eastAsia="Times New Roman"/>
          <w:iCs/>
          <w:szCs w:val="24"/>
          <w:lang w:eastAsia="es-CO"/>
        </w:rPr>
      </w:pPr>
      <w:r w:rsidRPr="00A21881">
        <w:rPr>
          <w:rFonts w:eastAsia="Times New Roman"/>
          <w:iCs/>
          <w:szCs w:val="24"/>
          <w:lang w:eastAsia="es-CO"/>
        </w:rPr>
        <w:t xml:space="preserve">"2. Por otra parte manifiesta usted que en la factura comercial se consignó el valor de la mercancía sin dejar constancia de los descuentos otorgados. En este evento, deben conservarse todos los documentos que lo acrediten, para efectos de posibles investigaciones administrativas cambiarias, de acuerdo con lo dispuesto por el artículo 3°. </w:t>
      </w:r>
      <w:proofErr w:type="gramStart"/>
      <w:r w:rsidRPr="00A21881">
        <w:rPr>
          <w:rFonts w:eastAsia="Times New Roman"/>
          <w:iCs/>
          <w:szCs w:val="24"/>
          <w:lang w:eastAsia="es-CO"/>
        </w:rPr>
        <w:t>de</w:t>
      </w:r>
      <w:proofErr w:type="gramEnd"/>
      <w:r w:rsidRPr="00A21881">
        <w:rPr>
          <w:rFonts w:eastAsia="Times New Roman"/>
          <w:iCs/>
          <w:szCs w:val="24"/>
          <w:lang w:eastAsia="es-CO"/>
        </w:rPr>
        <w:t xml:space="preserve"> la Resolución Externa 8 de 2000 de la Junta Directiva del Banco de la República, considerando que no se recibió pago por la exportación y en consecuencia no podía canalizarse suma alguna a través del mercado cambiario:</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szCs w:val="24"/>
          <w:lang w:eastAsia="es-CO"/>
        </w:rPr>
      </w:pPr>
      <w:r w:rsidRPr="00A21881">
        <w:rPr>
          <w:rFonts w:eastAsia="Times New Roman"/>
          <w:iCs/>
          <w:szCs w:val="24"/>
          <w:lang w:eastAsia="es-CO"/>
        </w:rPr>
        <w:t xml:space="preserve">"Artículo 3°. CONSERVACIÓN DE DOCUMENTOS. Para efectos cambiarios y sin perjuicio de lo dispuesto en normas especiales, los residentes en el país que efectúen operaciones de cambio están obligados a conservar los documentos que acrediten el monto, características y demás condiciones de la operación y el origen </w:t>
      </w:r>
      <w:r w:rsidRPr="00A21881">
        <w:rPr>
          <w:rFonts w:eastAsia="Times New Roman"/>
          <w:szCs w:val="24"/>
          <w:lang w:eastAsia="es-CO"/>
        </w:rPr>
        <w:t xml:space="preserve">o </w:t>
      </w:r>
      <w:r w:rsidRPr="00A21881">
        <w:rPr>
          <w:rFonts w:eastAsia="Times New Roman"/>
          <w:iCs/>
          <w:szCs w:val="24"/>
          <w:lang w:eastAsia="es-CO"/>
        </w:rPr>
        <w:t>destino de las divisas, según el caso, por un período igual al de caducidad o prescripción de la acción sancionatoria por infracciones al régimen cambiario.</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iCs/>
          <w:szCs w:val="24"/>
          <w:lang w:eastAsia="es-CO"/>
        </w:rPr>
      </w:pPr>
      <w:r w:rsidRPr="00A21881">
        <w:rPr>
          <w:rFonts w:eastAsia="Times New Roman"/>
          <w:iCs/>
          <w:szCs w:val="24"/>
          <w:lang w:eastAsia="es-CO"/>
        </w:rPr>
        <w:lastRenderedPageBreak/>
        <w:t>Tales documentos deberán presentarse a las entidades encargadas del control y vigilancia del cumplimiento del régimen cambiario que los requieran o dentro de las actuaciones administrativas que se inicien para determinar la comisión de infracciones cambiarias".</w:t>
      </w:r>
    </w:p>
    <w:p w:rsidR="00A21881" w:rsidRPr="00A21881" w:rsidRDefault="00A21881" w:rsidP="00A21881">
      <w:pPr>
        <w:spacing w:line="240" w:lineRule="auto"/>
        <w:ind w:left="284"/>
        <w:rPr>
          <w:rFonts w:eastAsia="Times New Roman"/>
          <w:iCs/>
          <w:szCs w:val="24"/>
          <w:lang w:eastAsia="es-CO"/>
        </w:rPr>
      </w:pPr>
    </w:p>
    <w:p w:rsidR="00A21881" w:rsidRPr="00A21881" w:rsidRDefault="00A21881" w:rsidP="00A21881">
      <w:pPr>
        <w:spacing w:line="240" w:lineRule="auto"/>
        <w:ind w:left="284"/>
        <w:rPr>
          <w:rFonts w:eastAsia="Times New Roman"/>
          <w:szCs w:val="24"/>
          <w:lang w:eastAsia="es-CO"/>
        </w:rPr>
      </w:pPr>
      <w:r w:rsidRPr="00A21881">
        <w:rPr>
          <w:rFonts w:eastAsia="Times New Roman"/>
          <w:iCs/>
          <w:szCs w:val="24"/>
          <w:lang w:eastAsia="es-CO"/>
        </w:rPr>
        <w:t xml:space="preserve">En el evento en que dentro de una investigación cambiaria que se pudiera adelantar por esos hechos, no se pueda probar que en efecto se dio un descuento al comprador del exterior y que por ello no se reintegró todo o parte del valor de la exportación, se configurará una infracción cambiaria por no canalizar a través del mercado cambiario, una operación de cambio obligatoriamente canalizable según los artículos 7 y 15 de la Resolución Externa 8 de 2000 de la Junta Directiva del Banco de la República y procederá imponer la sanción descrita en el literal e) del artículo 3° del Decreto Ley 1092 de 1996 modificado por el artículo 1° del Decreto Ley 1074 de 1999, antes transcrito." </w:t>
      </w:r>
      <w:r w:rsidRPr="00A21881">
        <w:rPr>
          <w:rFonts w:eastAsia="Times New Roman"/>
          <w:szCs w:val="24"/>
          <w:lang w:eastAsia="es-CO"/>
        </w:rPr>
        <w:t>(</w:t>
      </w:r>
      <w:proofErr w:type="gramStart"/>
      <w:r w:rsidRPr="00A21881">
        <w:rPr>
          <w:rFonts w:eastAsia="Times New Roman"/>
          <w:szCs w:val="24"/>
          <w:lang w:eastAsia="es-CO"/>
        </w:rPr>
        <w:t>resaltado</w:t>
      </w:r>
      <w:proofErr w:type="gramEnd"/>
      <w:r w:rsidRPr="00A21881">
        <w:rPr>
          <w:rFonts w:eastAsia="Times New Roman"/>
          <w:szCs w:val="24"/>
          <w:lang w:eastAsia="es-CO"/>
        </w:rPr>
        <w:t xml:space="preserve"> nuestro)</w:t>
      </w:r>
    </w:p>
    <w:p w:rsidR="00A21881" w:rsidRPr="00A21881" w:rsidRDefault="00A21881" w:rsidP="00A21881">
      <w:pPr>
        <w:spacing w:line="240" w:lineRule="auto"/>
        <w:rPr>
          <w:rFonts w:eastAsia="Times New Roman"/>
          <w:szCs w:val="24"/>
          <w:lang w:eastAsia="es-CO"/>
        </w:rPr>
      </w:pPr>
    </w:p>
    <w:p w:rsidR="00A21881" w:rsidRPr="00A21881" w:rsidRDefault="00A21881" w:rsidP="00A21881">
      <w:pPr>
        <w:spacing w:line="240" w:lineRule="auto"/>
        <w:rPr>
          <w:rFonts w:eastAsia="Times New Roman"/>
          <w:szCs w:val="24"/>
          <w:lang w:eastAsia="es-CO"/>
        </w:rPr>
      </w:pPr>
      <w:r w:rsidRPr="00A21881">
        <w:rPr>
          <w:rFonts w:eastAsia="Times New Roman"/>
          <w:szCs w:val="24"/>
          <w:lang w:eastAsia="es-CO"/>
        </w:rPr>
        <w:t>De la mencionada Doctrina, se puede observar que la interpretación jurídica está referida solamente a normas específicas que atañe a la conservación de los documentos relacionados a los regímenes tributario, aduanero y cambiario aclarando los términos señalados a cada materia.</w:t>
      </w:r>
    </w:p>
    <w:p w:rsidR="00A21881" w:rsidRPr="00A21881" w:rsidRDefault="00A21881" w:rsidP="00A21881">
      <w:pPr>
        <w:spacing w:line="240" w:lineRule="auto"/>
        <w:rPr>
          <w:rFonts w:eastAsia="Times New Roman"/>
          <w:szCs w:val="24"/>
          <w:lang w:eastAsia="es-CO"/>
        </w:rPr>
      </w:pPr>
    </w:p>
    <w:p w:rsidR="00A21881" w:rsidRPr="00A21881" w:rsidRDefault="00A21881" w:rsidP="00A21881">
      <w:pPr>
        <w:spacing w:line="240" w:lineRule="auto"/>
        <w:rPr>
          <w:rFonts w:eastAsia="Times New Roman"/>
          <w:iCs/>
          <w:szCs w:val="24"/>
          <w:lang w:eastAsia="es-CO"/>
        </w:rPr>
      </w:pPr>
      <w:r w:rsidRPr="00A21881">
        <w:rPr>
          <w:rFonts w:eastAsia="Times New Roman"/>
          <w:szCs w:val="24"/>
          <w:lang w:eastAsia="es-CO"/>
        </w:rPr>
        <w:t xml:space="preserve">En segundo lugar, solicita </w:t>
      </w:r>
      <w:r w:rsidRPr="00A21881">
        <w:rPr>
          <w:rFonts w:eastAsia="Times New Roman"/>
          <w:iCs/>
          <w:szCs w:val="24"/>
          <w:lang w:eastAsia="es-CO"/>
        </w:rPr>
        <w:t>"Se aclare que una vez utilizado dicho medio técnico, magnético o electrónico es posible acudir a la destrucción física de los documentos".</w:t>
      </w:r>
    </w:p>
    <w:p w:rsidR="00A21881" w:rsidRPr="00A21881" w:rsidRDefault="00A21881" w:rsidP="00A21881">
      <w:pPr>
        <w:spacing w:line="240" w:lineRule="auto"/>
        <w:rPr>
          <w:rFonts w:eastAsia="Times New Roman"/>
          <w:iCs/>
          <w:szCs w:val="24"/>
          <w:lang w:eastAsia="es-CO"/>
        </w:rPr>
      </w:pPr>
    </w:p>
    <w:p w:rsidR="00A21881" w:rsidRPr="00A21881" w:rsidRDefault="00A21881" w:rsidP="00A21881">
      <w:pPr>
        <w:spacing w:line="240" w:lineRule="auto"/>
        <w:rPr>
          <w:rFonts w:eastAsia="Times New Roman"/>
          <w:szCs w:val="24"/>
          <w:lang w:eastAsia="es-CO"/>
        </w:rPr>
      </w:pPr>
      <w:r w:rsidRPr="00A21881">
        <w:rPr>
          <w:rFonts w:eastAsia="Times New Roman"/>
          <w:szCs w:val="24"/>
          <w:lang w:eastAsia="es-CO"/>
        </w:rPr>
        <w:t>Acerca de la destrucción de los documentos una vez éstos cumplan el lapso del artículo 28 de la Ley 962 de 2005, nos permitimos informar que nuestra facultad está relacionada con la interpretación y aplicación de las normas tributarias, en materia aduanera o de comercio exterior de competencia de entidad, al no existir disposición legal que regule el tema de la destrucción de los documentos este despacho no puede realizar la interpretación a una norma inexistente.</w:t>
      </w:r>
    </w:p>
    <w:p w:rsidR="00A21881" w:rsidRPr="00A21881" w:rsidRDefault="00A21881" w:rsidP="00A21881">
      <w:pPr>
        <w:spacing w:line="240" w:lineRule="auto"/>
        <w:rPr>
          <w:rFonts w:eastAsia="Times New Roman"/>
          <w:szCs w:val="24"/>
          <w:lang w:eastAsia="es-CO"/>
        </w:rPr>
      </w:pPr>
    </w:p>
    <w:p w:rsidR="00A21881" w:rsidRPr="00A21881" w:rsidRDefault="00A21881" w:rsidP="00A21881">
      <w:pPr>
        <w:spacing w:line="240" w:lineRule="auto"/>
        <w:rPr>
          <w:rFonts w:eastAsia="Times New Roman"/>
          <w:szCs w:val="24"/>
          <w:lang w:eastAsia="es-CO"/>
        </w:rPr>
      </w:pPr>
    </w:p>
    <w:p w:rsidR="00A21881" w:rsidRPr="00A21881" w:rsidRDefault="00A21881" w:rsidP="00A21881">
      <w:pPr>
        <w:spacing w:line="240" w:lineRule="auto"/>
        <w:rPr>
          <w:rFonts w:eastAsia="Times New Roman"/>
          <w:szCs w:val="24"/>
          <w:lang w:eastAsia="es-CO"/>
        </w:rPr>
      </w:pPr>
      <w:r w:rsidRPr="00A21881">
        <w:rPr>
          <w:rFonts w:eastAsia="Times New Roman"/>
          <w:szCs w:val="24"/>
          <w:lang w:eastAsia="es-CO"/>
        </w:rPr>
        <w:t>Atentamente,</w:t>
      </w:r>
    </w:p>
    <w:p w:rsidR="00A21881" w:rsidRPr="00A21881" w:rsidRDefault="00A21881" w:rsidP="00A21881">
      <w:pPr>
        <w:spacing w:line="240" w:lineRule="auto"/>
        <w:rPr>
          <w:rFonts w:eastAsia="Times New Roman"/>
          <w:szCs w:val="24"/>
          <w:lang w:eastAsia="es-CO"/>
        </w:rPr>
      </w:pPr>
    </w:p>
    <w:p w:rsidR="00A21881" w:rsidRPr="00A21881" w:rsidRDefault="00A21881" w:rsidP="00A21881">
      <w:pPr>
        <w:spacing w:line="240" w:lineRule="auto"/>
        <w:rPr>
          <w:rFonts w:eastAsia="Times New Roman"/>
          <w:b/>
          <w:szCs w:val="24"/>
          <w:lang w:eastAsia="es-CO"/>
        </w:rPr>
      </w:pPr>
    </w:p>
    <w:p w:rsidR="00A21881" w:rsidRPr="00A21881" w:rsidRDefault="00A21881" w:rsidP="00A21881">
      <w:pPr>
        <w:spacing w:line="240" w:lineRule="auto"/>
        <w:rPr>
          <w:rFonts w:eastAsia="Times New Roman"/>
          <w:b/>
          <w:szCs w:val="24"/>
          <w:lang w:eastAsia="es-CO"/>
        </w:rPr>
      </w:pPr>
      <w:r w:rsidRPr="00A21881">
        <w:rPr>
          <w:rFonts w:eastAsia="Times New Roman"/>
          <w:b/>
          <w:szCs w:val="24"/>
          <w:lang w:eastAsia="es-CO"/>
        </w:rPr>
        <w:t>LEONOR EUGENIA RUIZ DE VILLALOBOS</w:t>
      </w:r>
    </w:p>
    <w:p w:rsidR="00A21881" w:rsidRPr="00A21881" w:rsidRDefault="00A21881" w:rsidP="00A21881">
      <w:pPr>
        <w:spacing w:line="240" w:lineRule="auto"/>
        <w:rPr>
          <w:rFonts w:eastAsia="Times New Roman"/>
          <w:szCs w:val="24"/>
          <w:lang w:eastAsia="es-CO"/>
        </w:rPr>
      </w:pPr>
      <w:r w:rsidRPr="00A21881">
        <w:rPr>
          <w:rFonts w:eastAsia="Times New Roman"/>
          <w:szCs w:val="24"/>
          <w:lang w:eastAsia="es-CO"/>
        </w:rPr>
        <w:t>Subdirectora de Gestión Normativa y Doctrina</w:t>
      </w:r>
    </w:p>
    <w:p w:rsidR="00A21881" w:rsidRPr="00A21881" w:rsidRDefault="00A21881" w:rsidP="00A21881">
      <w:pPr>
        <w:spacing w:after="285" w:line="240" w:lineRule="auto"/>
        <w:rPr>
          <w:rFonts w:eastAsia="Times New Roman"/>
          <w:szCs w:val="24"/>
          <w:lang w:eastAsia="es-CO"/>
        </w:rPr>
      </w:pPr>
      <w:r w:rsidRPr="00A21881">
        <w:rPr>
          <w:rFonts w:eastAsia="Times New Roman"/>
          <w:szCs w:val="24"/>
          <w:lang w:eastAsia="es-CO"/>
        </w:rPr>
        <w:t> </w:t>
      </w:r>
    </w:p>
    <w:p w:rsidR="00B51D80" w:rsidRPr="00A21881" w:rsidRDefault="00B51D80">
      <w:pPr>
        <w:rPr>
          <w:szCs w:val="24"/>
        </w:rPr>
      </w:pPr>
    </w:p>
    <w:sectPr w:rsidR="00B51D80" w:rsidRPr="00A21881"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81"/>
    <w:rsid w:val="00A067C7"/>
    <w:rsid w:val="00A21881"/>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7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785" TargetMode="External"/><Relationship Id="rId5" Type="http://schemas.openxmlformats.org/officeDocument/2006/relationships/hyperlink" Target="mailto:ccaita@gomezalza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1802</Words>
  <Characters>9914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2013-12-11T22:36:00Z</dcterms:created>
  <dcterms:modified xsi:type="dcterms:W3CDTF">2013-12-11T22:38:00Z</dcterms:modified>
</cp:coreProperties>
</file>